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AA0E5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AA0E5F">
        <w:tblPrEx>
          <w:tblW w:w="5000" w:type="pct"/>
          <w:tblCellMar>
            <w:left w:w="10" w:type="dxa"/>
            <w:right w:w="10" w:type="dxa"/>
          </w:tblCellMar>
          <w:tblLook w:val="0000"/>
        </w:tblPrEx>
        <w:trPr>
          <w:trHeight w:val="283"/>
        </w:trPr>
        <w:tc>
          <w:tcPr>
            <w:tcW w:w="5000" w:type="pct"/>
            <w:gridSpan w:val="4"/>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spacing w:after="24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2.1. Quorum of issuer court of directors meeting and the voting results on items of decision making: </w:t>
            </w:r>
            <w:r w:rsidRPr="00320D74">
              <w:rPr>
                <w:rFonts w:ascii="Times New Roman" w:eastAsia="Times New Roman" w:hAnsi="Times New Roman" w:cs="Times New Roman"/>
                <w:b/>
                <w:bCs/>
                <w:i/>
                <w:iCs/>
                <w:rtl w:val="0"/>
                <w:lang w:val="en-US"/>
              </w:rPr>
              <w:t>11 of 11 members of the Court of directors took part in the Court of directors meeting, the quorum is possessed.</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Voting results: </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b/>
                <w:bCs/>
                <w:rtl w:val="0"/>
                <w:lang w:val="en-US"/>
              </w:rPr>
              <w:t xml:space="preserve">on agenda </w:t>
            </w:r>
            <w:r w:rsidRPr="00320D74">
              <w:rPr>
                <w:rFonts w:ascii="Times New Roman" w:eastAsia="Times New Roman" w:hAnsi="Times New Roman" w:cs="Times New Roman"/>
                <w:rtl w:val="0"/>
                <w:lang w:val="en-US"/>
              </w:rPr>
              <w:t>item 1:</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“FOR” – 9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“AGAINST” – 0 votes;</w:t>
            </w:r>
            <w:bookmarkStart w:id="0" w:name="_GoBack"/>
            <w:bookmarkEnd w:id="0"/>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“ABSTAINED” – 2 votes; </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b/>
                <w:bCs/>
                <w:rtl w:val="0"/>
                <w:lang w:val="en-US"/>
              </w:rPr>
              <w:t xml:space="preserve">on agenda </w:t>
            </w:r>
            <w:r w:rsidRPr="00320D74">
              <w:rPr>
                <w:rFonts w:ascii="Times New Roman" w:eastAsia="Times New Roman" w:hAnsi="Times New Roman" w:cs="Times New Roman"/>
                <w:rtl w:val="0"/>
                <w:lang w:val="en-US"/>
              </w:rPr>
              <w:t>item 2:</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“FOR” – 8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“AGAINST” – 0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“ABSTAINED” – 3 votes; </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b/>
                <w:bCs/>
                <w:rtl w:val="0"/>
                <w:lang w:val="en-US"/>
              </w:rPr>
              <w:t xml:space="preserve">on agenda </w:t>
            </w:r>
            <w:r w:rsidRPr="00320D74">
              <w:rPr>
                <w:rFonts w:ascii="Times New Roman" w:eastAsia="Times New Roman" w:hAnsi="Times New Roman" w:cs="Times New Roman"/>
                <w:rtl w:val="0"/>
                <w:lang w:val="en-US"/>
              </w:rPr>
              <w:t>item 3:</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“FOR” – 9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“AGAINST” – 0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“ABSTAINED” – 2 votes; </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b/>
                <w:bCs/>
                <w:rtl w:val="0"/>
                <w:lang w:val="en-US"/>
              </w:rPr>
              <w:t xml:space="preserve">on agenda </w:t>
            </w:r>
            <w:r w:rsidRPr="00320D74">
              <w:rPr>
                <w:rFonts w:ascii="Times New Roman" w:eastAsia="Times New Roman" w:hAnsi="Times New Roman" w:cs="Times New Roman"/>
                <w:rtl w:val="0"/>
                <w:lang w:val="en-US"/>
              </w:rPr>
              <w:t>item 4:</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“FOR” – 9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“AGAINST” – 0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“ABSTAINED” – 2 votes; </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b/>
                <w:bCs/>
                <w:rtl w:val="0"/>
                <w:lang w:val="en-US"/>
              </w:rPr>
              <w:t xml:space="preserve">on agenda </w:t>
            </w:r>
            <w:r w:rsidRPr="00320D74">
              <w:rPr>
                <w:rFonts w:ascii="Times New Roman" w:eastAsia="Times New Roman" w:hAnsi="Times New Roman" w:cs="Times New Roman"/>
                <w:rtl w:val="0"/>
                <w:lang w:val="en-US"/>
              </w:rPr>
              <w:t>item 5:</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“FOR” – 11 votes;</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“AGAINST” – 0 votes;</w:t>
            </w:r>
          </w:p>
          <w:p w:rsidR="00320D74" w:rsidRPr="00320D74" w:rsidP="00320D74">
            <w:pPr>
              <w:widowControl/>
              <w:bidi w:val="0"/>
              <w:spacing w:after="24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“Abstained” - 0 votes.</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center"/>
              <w:rPr>
                <w:rFonts w:ascii="Times New Roman" w:eastAsia="Times New Roman" w:hAnsi="Times New Roman" w:cs="Times New Roman"/>
              </w:rPr>
            </w:pPr>
            <w:r w:rsidRPr="00320D74">
              <w:rPr>
                <w:rFonts w:ascii="Times New Roman" w:eastAsia="Times New Roman" w:hAnsi="Times New Roman" w:cs="Times New Roman"/>
                <w:b/>
                <w:bCs/>
                <w:rtl w:val="0"/>
                <w:lang w:val="en-US"/>
              </w:rPr>
              <w:t>Insider Information disclosure on agenda item 1: "Of investment projects of the Company summary confirmation that are owned by the technological price audit in 2018"</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2.2.1.</w:t>
              <w:tab/>
              <w:t>Content of the resolution adopted by the issuer’s board of directors:</w:t>
            </w:r>
          </w:p>
          <w:p w:rsidR="00320D74" w:rsidRPr="00320D74" w:rsidP="00320D74">
            <w:pPr>
              <w:widowControl/>
              <w:bidi w:val="0"/>
              <w:spacing w:after="24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To take under advisement the information of the CEO of the Company on deficiency of investment projects in confirmed investment programme for the period of 2016-2022 yrs and in the project of investment programme for the period of 2018-2023 yrs with cash budget of 1,5 bln rubles and more that are subject to public technological and price audit.</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center"/>
              <w:rPr>
                <w:rFonts w:ascii="Times New Roman" w:eastAsia="Times New Roman" w:hAnsi="Times New Roman" w:cs="Times New Roman"/>
              </w:rPr>
            </w:pPr>
            <w:r w:rsidRPr="00320D74">
              <w:rPr>
                <w:rFonts w:ascii="Times New Roman" w:eastAsia="Times New Roman" w:hAnsi="Times New Roman" w:cs="Times New Roman"/>
                <w:b/>
                <w:bCs/>
                <w:rtl w:val="0"/>
                <w:lang w:val="en-US"/>
              </w:rPr>
              <w:t>Insider Information Disclosure on agenda item 2: "Of report advisement of procedure of technology price audit implementation that are made to the investment programme of IDGC of the South, PJSC for 2016-2022 years, as well as the reports on investment programme of the Company execution"</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2.2.2.</w:t>
              <w:tab/>
              <w:t>Content of the resolution adopted by the issuer’s board of directors:</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1.</w:t>
              <w:tab/>
              <w:t>To take under advisement the report of the CEO on the procedure of technological and price audit of alterations project  that are made in 2017 year to the investment programme of IDGC of the South, PJSC for the period of 2016-2022 yrs, affirmed by the order of Minenergo of Russia of 22.12.2016 № 1387 and the reports of investment programme of IDGC of the South, PJSC for the 1-4 quarter of 2017 and 2017 year realisation according to the Enclosure № 1 to the present decision of the Board of directors of the Company.</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w:t>
              <w:tab/>
              <w:t>To appoint the CEO of the Company to insure:</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2.1</w:t>
              <w:tab/>
              <w:t>publication of the TPA implementation if investment programme of IDGC of the South, PJSC reports and the reports on its execution within time limits that are started in the report of the CEO on the procedure of technological and price audit of alterations project that are made to the investment programme of IDGC of the South, PJSC in 2017 for the period of 2016-2022 yrs, affirmed by the order of Minenergo of Russia of 22.12.2016 № 1387 and the price audit of alterations that are made to the investment programme of programme of IDGC of the South, PJSC for 2016-2020 yrs.</w:t>
            </w:r>
          </w:p>
          <w:p w:rsidR="00320D74" w:rsidRPr="00320D74" w:rsidP="00320D74">
            <w:pPr>
              <w:widowControl/>
              <w:bidi w:val="0"/>
              <w:spacing w:after="24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2.2</w:t>
              <w:tab/>
              <w:t>implementation in 2018 of TPA of the investment programme of IDGC of the South, PJSC and the reports on its execution within the time limits.</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center"/>
              <w:rPr>
                <w:rFonts w:ascii="Times New Roman" w:eastAsia="Times New Roman" w:hAnsi="Times New Roman" w:cs="Times New Roman"/>
              </w:rPr>
            </w:pPr>
            <w:r w:rsidRPr="00320D74">
              <w:rPr>
                <w:rFonts w:ascii="Times New Roman" w:eastAsia="Times New Roman" w:hAnsi="Times New Roman" w:cs="Times New Roman"/>
                <w:b/>
                <w:bCs/>
                <w:rtl w:val="0"/>
                <w:lang w:val="en-US"/>
              </w:rPr>
              <w:t>Insider Information Disclosure on agenda item 3: "Of position of the Company (representatives of the Company) definition on agenda items of the Board of directors meeting of subsidiaries and affiliates of IDGC of the South, PJSC – “PSKh Sokolovskoye” JSC and "Energoservis Yuga" JSC"</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2.2.3.</w:t>
              <w:tab/>
              <w:t>Content of the resolution adopted by the issuer’s board of directors:</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1.</w:t>
              <w:tab/>
              <w:t>To appoint the representatives of IDGC of the South, PJSC in the Board of directors of “PSKh Sokolovskoye” JSC on agenda item "On affirmation of the report on the key performance indicator (KPI) execution of the CEO of “PSKh Sokolovskoye” JSC for the 1st and 2nd half year of 2017" to vote "FOR" the adoption of the following decision:</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"To affirm the report on key performance indicator (KPI) execution of the CEO of “PSKh Sokolovskoye” JSC for the 1st and 2nd quarter of 2017 in accordance with the Enclosure to the present decision".</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w:t>
              <w:tab/>
              <w:t>To appoint the representatives of IDGC of the South, PJSC in the Board of directors of "Energoservis Yuga" JSC on agenda item "On affirmation of the report on the key performance indicator (KPI) execution of the CEO of "Energoservis Yuga" JSC for the 1st and 2nd half year of 2017" to vote "FOR" the adoption of the following decision:</w:t>
            </w:r>
          </w:p>
          <w:p w:rsidR="00320D74" w:rsidRPr="00320D74" w:rsidP="00320D74">
            <w:pPr>
              <w:widowControl/>
              <w:bidi w:val="0"/>
              <w:spacing w:after="24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"To affirm the report on key performance indicator (KPI) execution of the CEO of "Energoservis Yuga" JSC for the 1st and 2nd quarter of 2017 in accordance with the Enclosure to the present decision".</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center"/>
              <w:rPr>
                <w:rFonts w:ascii="Times New Roman" w:eastAsia="Times New Roman" w:hAnsi="Times New Roman" w:cs="Times New Roman"/>
              </w:rPr>
            </w:pPr>
            <w:r w:rsidRPr="00320D74">
              <w:rPr>
                <w:rFonts w:ascii="Times New Roman" w:eastAsia="Times New Roman" w:hAnsi="Times New Roman" w:cs="Times New Roman"/>
                <w:b/>
                <w:bCs/>
                <w:rtl w:val="0"/>
                <w:lang w:val="en-US"/>
              </w:rPr>
              <w:t>Insider information disclosure on agenda item 4: "Of affirmation of Central purchasing authority of the Company – Central Tender Committee of IDGC of the South, PJSC"</w:t>
            </w:r>
          </w:p>
        </w:tc>
      </w:tr>
      <w:tr w:rsidTr="00A44DC2">
        <w:tblPrEx>
          <w:tblW w:w="5000" w:type="pct"/>
          <w:tblCellMar>
            <w:left w:w="10" w:type="dxa"/>
            <w:right w:w="10" w:type="dxa"/>
          </w:tblCellMar>
          <w:tblLook w:val="04A0"/>
        </w:tblPrEx>
        <w:trPr>
          <w:trHeight w:val="57"/>
        </w:trPr>
        <w:tc>
          <w:tcPr>
            <w:tcW w:w="5000" w:type="pct"/>
            <w:gridSpan w:val="4"/>
            <w:shd w:val="clear" w:color="auto" w:fill="FFFFFF"/>
          </w:tcPr>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2.2.4.</w:t>
              <w:tab/>
              <w:t>Content of the resolution adopted by the issuer’s board of directors:</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1.</w:t>
              <w:tab/>
              <w:t>To consider the decision of the Board of directors of the Company of 09.06.2017 (minutes of 13.06.2017 №236/2017) on agenda item 2 become invalid from the day of affirmation of the present decision.</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w:t>
              <w:tab/>
              <w:t>Approve the following personal composition of IDGC of the South, PJSC Central Tender Commission from this resolution date: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 w:type="dxa"/>
                <w:bottom w:w="0" w:type="dxa"/>
                <w:right w:w="10" w:type="dxa"/>
              </w:tblCellMar>
              <w:tblLook w:val="04A0"/>
            </w:tblPr>
            <w:tblGrid>
              <w:gridCol w:w="2476"/>
              <w:gridCol w:w="425"/>
              <w:gridCol w:w="6974"/>
            </w:tblGrid>
            <w:tr w:rsidTr="00A44D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 w:type="dxa"/>
                  <w:bottom w:w="0" w:type="dxa"/>
                  <w:right w:w="10" w:type="dxa"/>
                </w:tblCellMar>
                <w:tblLook w:val="04A0"/>
              </w:tblPrEx>
              <w:trPr>
                <w:trHeight w:val="20"/>
              </w:trPr>
              <w:tc>
                <w:tcPr>
                  <w:tcW w:w="5000" w:type="pct"/>
                  <w:gridSpan w:val="3"/>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Chairman of CCC: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D.O. Zhuravlev</w:t>
                  </w:r>
                </w:p>
              </w:tc>
              <w:tc>
                <w:tcPr>
                  <w:tcW w:w="215"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w:t>
                  </w: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Deputy Director-General, Development and Technological Connection, IDGC of the South, PJSC</w:t>
                  </w:r>
                </w:p>
              </w:tc>
            </w:tr>
            <w:tr w:rsidTr="00A44DC2">
              <w:tblPrEx>
                <w:tblW w:w="5000" w:type="pct"/>
                <w:tblCellMar>
                  <w:top w:w="0" w:type="dxa"/>
                  <w:left w:w="10" w:type="dxa"/>
                  <w:bottom w:w="0" w:type="dxa"/>
                  <w:right w:w="10" w:type="dxa"/>
                </w:tblCellMar>
                <w:tblLook w:val="04A0"/>
              </w:tblPrEx>
              <w:trPr>
                <w:trHeight w:val="20"/>
              </w:trPr>
              <w:tc>
                <w:tcPr>
                  <w:tcW w:w="5000" w:type="pct"/>
                  <w:gridSpan w:val="3"/>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Deputies of chairman of CCC: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Yu.V. Ivanov</w:t>
                  </w:r>
                </w:p>
              </w:tc>
              <w:tc>
                <w:tcPr>
                  <w:tcW w:w="215"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w:t>
                  </w: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Deputy Director-General, Investment Business, IDGC of the South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R.K. Kislenko</w:t>
                  </w:r>
                </w:p>
              </w:tc>
              <w:tc>
                <w:tcPr>
                  <w:tcW w:w="215"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w:t>
                  </w:r>
                </w:p>
              </w:tc>
              <w:tc>
                <w:tcPr>
                  <w:tcW w:w="3531"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Head, Security Department, IDGC of the South, PJSC</w:t>
                  </w:r>
                </w:p>
              </w:tc>
            </w:tr>
            <w:tr w:rsidTr="00A44DC2">
              <w:tblPrEx>
                <w:tblW w:w="5000" w:type="pct"/>
                <w:tblCellMar>
                  <w:top w:w="0" w:type="dxa"/>
                  <w:left w:w="10" w:type="dxa"/>
                  <w:bottom w:w="0" w:type="dxa"/>
                  <w:right w:w="10" w:type="dxa"/>
                </w:tblCellMar>
                <w:tblLook w:val="04A0"/>
              </w:tblPrEx>
              <w:trPr>
                <w:trHeight w:val="20"/>
              </w:trPr>
              <w:tc>
                <w:tcPr>
                  <w:tcW w:w="5000" w:type="pct"/>
                  <w:gridSpan w:val="3"/>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Members of CCC: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S.V. Berdnikova</w:t>
                  </w:r>
                </w:p>
              </w:tc>
              <w:tc>
                <w:tcPr>
                  <w:tcW w:w="215"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w:t>
                  </w: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Leading expert, Division for Procurement Administration, Procurement Department, Rosseti,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P.V. Goncharov</w:t>
                  </w:r>
                </w:p>
              </w:tc>
              <w:tc>
                <w:tcPr>
                  <w:tcW w:w="215"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w:t>
                  </w: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Deputy Director-General, Technical Issues, Chief Engineer, IDGC of the South,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E.V. Lednev</w:t>
                  </w:r>
                </w:p>
              </w:tc>
              <w:tc>
                <w:tcPr>
                  <w:tcW w:w="215"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w:t>
                  </w: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Deputy Director-General, Special Projects, IDGC of the South,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D.V. Shulzhenko</w:t>
                  </w:r>
                </w:p>
              </w:tc>
              <w:tc>
                <w:tcPr>
                  <w:tcW w:w="215" w:type="pct"/>
                  <w:shd w:val="clear" w:color="auto" w:fill="FFFFFF"/>
                </w:tcPr>
                <w:p w:rsidR="00320D74" w:rsidRPr="00320D74" w:rsidP="00320D74">
                  <w:pPr>
                    <w:widowControl/>
                    <w:ind w:left="57" w:right="57"/>
                    <w:jc w:val="both"/>
                    <w:rPr>
                      <w:rFonts w:ascii="Times New Roman" w:hAnsi="Times New Roman" w:cs="Times New Roman"/>
                      <w:sz w:val="20"/>
                      <w:szCs w:val="20"/>
                    </w:rPr>
                  </w:pP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Director, Technological Connection, Head, Technological Connection Department,  IDGC of the South,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I.V. Kozyreva</w:t>
                  </w:r>
                </w:p>
              </w:tc>
              <w:tc>
                <w:tcPr>
                  <w:tcW w:w="215" w:type="pct"/>
                  <w:shd w:val="clear" w:color="auto" w:fill="FFFFFF"/>
                </w:tcPr>
                <w:p w:rsidR="00320D74" w:rsidRPr="00320D74" w:rsidP="00320D74">
                  <w:pPr>
                    <w:widowControl/>
                    <w:ind w:left="57" w:right="57"/>
                    <w:jc w:val="both"/>
                    <w:rPr>
                      <w:rFonts w:ascii="Times New Roman" w:hAnsi="Times New Roman" w:cs="Times New Roman"/>
                      <w:sz w:val="20"/>
                      <w:szCs w:val="20"/>
                    </w:rPr>
                  </w:pPr>
                </w:p>
              </w:tc>
              <w:tc>
                <w:tcPr>
                  <w:tcW w:w="3531"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Deputy Head, Legal Support Department, IDGC of the South,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A.V. Koledin</w:t>
                  </w:r>
                </w:p>
              </w:tc>
              <w:tc>
                <w:tcPr>
                  <w:tcW w:w="215" w:type="pct"/>
                  <w:shd w:val="clear" w:color="auto" w:fill="FFFFFF"/>
                </w:tcPr>
                <w:p w:rsidR="00320D74" w:rsidRPr="00320D74" w:rsidP="00320D74">
                  <w:pPr>
                    <w:widowControl/>
                    <w:ind w:left="57" w:right="57"/>
                    <w:jc w:val="both"/>
                    <w:rPr>
                      <w:rFonts w:ascii="Times New Roman" w:hAnsi="Times New Roman" w:cs="Times New Roman"/>
                      <w:sz w:val="20"/>
                      <w:szCs w:val="20"/>
                    </w:rPr>
                  </w:pPr>
                </w:p>
              </w:tc>
              <w:tc>
                <w:tcPr>
                  <w:tcW w:w="3531"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Deputy Chief Engineer, Operation, IDGC of the South, PJSC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A. A. Taskayev</w:t>
                  </w:r>
                </w:p>
              </w:tc>
              <w:tc>
                <w:tcPr>
                  <w:tcW w:w="215" w:type="pct"/>
                  <w:shd w:val="clear" w:color="auto" w:fill="FFFFFF"/>
                </w:tcPr>
                <w:p w:rsidR="00320D74" w:rsidRPr="00320D74" w:rsidP="00320D74">
                  <w:pPr>
                    <w:widowControl/>
                    <w:ind w:left="57" w:right="57"/>
                    <w:jc w:val="both"/>
                    <w:rPr>
                      <w:rFonts w:ascii="Times New Roman" w:hAnsi="Times New Roman" w:cs="Times New Roman"/>
                      <w:sz w:val="20"/>
                      <w:szCs w:val="20"/>
                    </w:rPr>
                  </w:pP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Director, Software and Computing, Head, Corporate and Technological ACS</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 xml:space="preserve">Zhytko N. S. </w:t>
                  </w:r>
                </w:p>
              </w:tc>
              <w:tc>
                <w:tcPr>
                  <w:tcW w:w="215" w:type="pct"/>
                  <w:shd w:val="clear" w:color="auto" w:fill="FFFFFF"/>
                </w:tcPr>
                <w:p w:rsidR="00320D74" w:rsidRPr="00320D74" w:rsidP="00320D74">
                  <w:pPr>
                    <w:widowControl/>
                    <w:ind w:left="57" w:right="57"/>
                    <w:jc w:val="both"/>
                    <w:rPr>
                      <w:rFonts w:ascii="Times New Roman" w:hAnsi="Times New Roman" w:cs="Times New Roman"/>
                      <w:sz w:val="20"/>
                      <w:szCs w:val="20"/>
                    </w:rPr>
                  </w:pPr>
                </w:p>
              </w:tc>
              <w:tc>
                <w:tcPr>
                  <w:tcW w:w="3531"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Chief Specialist, Finance Department, IDGC of the South PJSC</w:t>
                  </w:r>
                </w:p>
              </w:tc>
            </w:tr>
            <w:tr w:rsidTr="00A44DC2">
              <w:tblPrEx>
                <w:tblW w:w="5000" w:type="pct"/>
                <w:tblCellMar>
                  <w:top w:w="0" w:type="dxa"/>
                  <w:left w:w="10" w:type="dxa"/>
                  <w:bottom w:w="0" w:type="dxa"/>
                  <w:right w:w="10" w:type="dxa"/>
                </w:tblCellMar>
                <w:tblLook w:val="04A0"/>
              </w:tblPrEx>
              <w:trPr>
                <w:trHeight w:val="20"/>
              </w:trPr>
              <w:tc>
                <w:tcPr>
                  <w:tcW w:w="5000" w:type="pct"/>
                  <w:gridSpan w:val="3"/>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Executive Secretary of CCC:</w:t>
                  </w:r>
                </w:p>
              </w:tc>
            </w:tr>
            <w:tr w:rsidTr="00A44DC2">
              <w:tblPrEx>
                <w:tblW w:w="5000" w:type="pct"/>
                <w:tblCellMar>
                  <w:top w:w="0" w:type="dxa"/>
                  <w:left w:w="10" w:type="dxa"/>
                  <w:bottom w:w="0" w:type="dxa"/>
                  <w:right w:w="10" w:type="dxa"/>
                </w:tblCellMar>
                <w:tblLook w:val="04A0"/>
              </w:tblPrEx>
              <w:trPr>
                <w:trHeight w:val="20"/>
              </w:trPr>
              <w:tc>
                <w:tcPr>
                  <w:tcW w:w="1254" w:type="pct"/>
                  <w:shd w:val="clear" w:color="auto" w:fill="FFFFFF"/>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O.V. Simakina</w:t>
                  </w:r>
                </w:p>
              </w:tc>
              <w:tc>
                <w:tcPr>
                  <w:tcW w:w="215" w:type="pct"/>
                  <w:shd w:val="clear" w:color="auto" w:fill="FFFFFF"/>
                </w:tcPr>
                <w:p w:rsidR="00320D74" w:rsidRPr="00320D74" w:rsidP="00320D74">
                  <w:pPr>
                    <w:widowControl/>
                    <w:ind w:left="57" w:right="57"/>
                    <w:jc w:val="both"/>
                    <w:rPr>
                      <w:rFonts w:ascii="Times New Roman" w:hAnsi="Times New Roman" w:cs="Times New Roman"/>
                      <w:sz w:val="20"/>
                      <w:szCs w:val="20"/>
                    </w:rPr>
                  </w:pPr>
                </w:p>
              </w:tc>
              <w:tc>
                <w:tcPr>
                  <w:tcW w:w="3531" w:type="pct"/>
                  <w:shd w:val="clear" w:color="auto" w:fill="FFFFFF"/>
                  <w:vAlign w:val="bottom"/>
                </w:tcPr>
                <w:p w:rsidR="00320D74" w:rsidRPr="00320D74" w:rsidP="00320D74">
                  <w:pPr>
                    <w:widowControl/>
                    <w:bidi w:val="0"/>
                    <w:ind w:left="57" w:right="57"/>
                    <w:jc w:val="both"/>
                    <w:rPr>
                      <w:rFonts w:ascii="Times New Roman" w:eastAsia="Times New Roman" w:hAnsi="Times New Roman" w:cs="Times New Roman"/>
                      <w:sz w:val="20"/>
                      <w:szCs w:val="20"/>
                    </w:rPr>
                  </w:pPr>
                  <w:r w:rsidRPr="00320D74">
                    <w:rPr>
                      <w:rFonts w:ascii="Times New Roman" w:eastAsia="Times New Roman" w:hAnsi="Times New Roman" w:cs="Times New Roman"/>
                      <w:bCs/>
                      <w:sz w:val="20"/>
                      <w:szCs w:val="20"/>
                      <w:rtl w:val="0"/>
                      <w:lang w:val="en-US"/>
                    </w:rPr>
                    <w:t>Chief Specialist, Tender Procedures Division, IDGC of the South, PJSC</w:t>
                  </w:r>
                </w:p>
              </w:tc>
            </w:tr>
          </w:tbl>
          <w:p w:rsidR="00320D74" w:rsidRPr="00320D74" w:rsidP="00320D74">
            <w:pPr>
              <w:widowControl/>
              <w:ind w:right="57"/>
              <w:jc w:val="both"/>
              <w:rPr>
                <w:rFonts w:ascii="Times New Roman" w:eastAsia="Times New Roman" w:hAnsi="Times New Roman" w:cs="Times New Roman"/>
              </w:rPr>
            </w:pPr>
          </w:p>
        </w:tc>
      </w:tr>
      <w:tr w:rsidTr="00A44DC2">
        <w:tblPrEx>
          <w:tblW w:w="5000" w:type="pct"/>
          <w:tblCellMar>
            <w:left w:w="10" w:type="dxa"/>
            <w:right w:w="10" w:type="dxa"/>
          </w:tblCellMar>
          <w:tblLook w:val="04A0"/>
        </w:tblPrEx>
        <w:trPr>
          <w:trHeight w:val="20"/>
        </w:trPr>
        <w:tc>
          <w:tcPr>
            <w:tcW w:w="5000" w:type="pct"/>
            <w:gridSpan w:val="4"/>
            <w:shd w:val="clear" w:color="auto" w:fill="FFFFFF"/>
          </w:tcPr>
          <w:p w:rsidR="00320D74" w:rsidRPr="00320D74" w:rsidP="00320D74">
            <w:pPr>
              <w:widowControl/>
              <w:bidi w:val="0"/>
              <w:ind w:left="57" w:right="57"/>
              <w:jc w:val="center"/>
              <w:rPr>
                <w:rFonts w:ascii="Times New Roman" w:eastAsia="Times New Roman" w:hAnsi="Times New Roman" w:cs="Times New Roman"/>
              </w:rPr>
            </w:pPr>
            <w:r w:rsidRPr="00320D74">
              <w:rPr>
                <w:rFonts w:ascii="Times New Roman" w:eastAsia="Times New Roman" w:hAnsi="Times New Roman" w:cs="Times New Roman"/>
                <w:b/>
                <w:bCs/>
                <w:rtl w:val="0"/>
                <w:lang w:val="en-US"/>
              </w:rPr>
              <w:t>Insider information disclosure on agenda item 5: "On insurance protection ensuring of the Company in the 3rd quarter of 2017"</w:t>
            </w:r>
          </w:p>
        </w:tc>
      </w:tr>
      <w:tr w:rsidTr="00A44DC2">
        <w:tblPrEx>
          <w:tblW w:w="5000" w:type="pct"/>
          <w:tblCellMar>
            <w:left w:w="10" w:type="dxa"/>
            <w:right w:w="10" w:type="dxa"/>
          </w:tblCellMar>
          <w:tblLook w:val="04A0"/>
        </w:tblPrEx>
        <w:trPr>
          <w:trHeight w:val="20"/>
        </w:trPr>
        <w:tc>
          <w:tcPr>
            <w:tcW w:w="5000" w:type="pct"/>
            <w:gridSpan w:val="4"/>
            <w:shd w:val="clear" w:color="auto" w:fill="FFFFFF"/>
          </w:tcPr>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2.2.5.</w:t>
              <w:tab/>
              <w:t>Content of the resolution adopted by the issuer’s board of directors:</w:t>
            </w:r>
          </w:p>
          <w:p w:rsidR="00320D74" w:rsidRPr="00320D74" w:rsidP="00320D74">
            <w:pPr>
              <w:widowControl/>
              <w:bidi w:val="0"/>
              <w:ind w:left="57" w:right="57" w:firstLine="640"/>
              <w:jc w:val="both"/>
              <w:rPr>
                <w:rFonts w:ascii="Times New Roman" w:eastAsia="Times New Roman" w:hAnsi="Times New Roman" w:cs="Times New Roman"/>
              </w:rPr>
            </w:pPr>
            <w:r w:rsidRPr="00320D74">
              <w:rPr>
                <w:rFonts w:ascii="Times New Roman" w:eastAsia="Times New Roman" w:hAnsi="Times New Roman" w:cs="Times New Roman"/>
                <w:rtl w:val="0"/>
                <w:lang w:val="en-US"/>
              </w:rPr>
              <w:t xml:space="preserve">To take under advisement the report of the CEO of the Company on insurance protection ensuring in the 3rd quarter of 2017 in accordance with the Enclosure № 2 to the present decision of the Board of directors of the Company. </w:t>
            </w:r>
          </w:p>
        </w:tc>
      </w:tr>
      <w:tr w:rsidTr="00A44DC2">
        <w:tblPrEx>
          <w:tblW w:w="5000" w:type="pct"/>
          <w:tblCellMar>
            <w:left w:w="10" w:type="dxa"/>
            <w:right w:w="10" w:type="dxa"/>
          </w:tblCellMar>
          <w:tblLook w:val="04A0"/>
        </w:tblPrEx>
        <w:trPr>
          <w:trHeight w:val="20"/>
        </w:trPr>
        <w:tc>
          <w:tcPr>
            <w:tcW w:w="5000" w:type="pct"/>
            <w:gridSpan w:val="4"/>
            <w:shd w:val="clear" w:color="auto" w:fill="FFFFFF"/>
          </w:tcPr>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2.3.</w:t>
              <w:tab/>
              <w:t xml:space="preserve">Date of the Issuer’s board of directors meeting, at which the corresponding resolutions were accepted: </w:t>
            </w:r>
            <w:r w:rsidRPr="00320D74">
              <w:rPr>
                <w:rFonts w:ascii="Times New Roman" w:eastAsia="Times New Roman" w:hAnsi="Times New Roman" w:cs="Times New Roman"/>
                <w:b/>
                <w:bCs/>
                <w:i/>
                <w:iCs/>
                <w:rtl w:val="0"/>
                <w:lang w:val="en-US"/>
              </w:rPr>
              <w:t>27th of November, 2017.</w:t>
            </w:r>
          </w:p>
          <w:p w:rsidR="00320D74" w:rsidRPr="00320D74" w:rsidP="00320D74">
            <w:pPr>
              <w:widowControl/>
              <w:bidi w:val="0"/>
              <w:ind w:left="57" w:right="57"/>
              <w:jc w:val="both"/>
              <w:rPr>
                <w:rFonts w:ascii="Times New Roman" w:eastAsia="Times New Roman" w:hAnsi="Times New Roman" w:cs="Times New Roman"/>
              </w:rPr>
            </w:pPr>
            <w:r w:rsidRPr="00320D74">
              <w:rPr>
                <w:rFonts w:ascii="Times New Roman" w:eastAsia="Times New Roman" w:hAnsi="Times New Roman" w:cs="Times New Roman"/>
                <w:rtl w:val="0"/>
                <w:lang w:val="en-US"/>
              </w:rPr>
              <w:t>2.4.</w:t>
              <w:tab/>
              <w:t xml:space="preserve">Date of drafting and number of the minutes of the Issuer’s Board of Directors meeting, at which the corresponding decisions were accepted: </w:t>
            </w:r>
            <w:r w:rsidRPr="00320D74">
              <w:rPr>
                <w:rFonts w:ascii="Times New Roman" w:eastAsia="Times New Roman" w:hAnsi="Times New Roman" w:cs="Times New Roman"/>
                <w:b/>
                <w:bCs/>
                <w:i/>
                <w:iCs/>
                <w:rtl w:val="0"/>
                <w:lang w:val="en-US"/>
              </w:rPr>
              <w:t>29th of November, 2017, minutes № 249/2017.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1453F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"29" of November,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320D74">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2018-03-14T14:23:00Z</dcterms:created>
  <dcterms:modified xsi:type="dcterms:W3CDTF">2018-03-14T14:27:00Z</dcterms:modified>
</cp:coreProperties>
</file>